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B9C" w:rsidRDefault="00AA2B9C" w:rsidP="00AA2B9C">
      <w:pPr>
        <w:jc w:val="center"/>
      </w:pPr>
      <w:r>
        <w:rPr>
          <w:noProof/>
        </w:rPr>
        <w:drawing>
          <wp:inline distT="0" distB="0" distL="0" distR="0" wp14:anchorId="512081EA" wp14:editId="13596A58">
            <wp:extent cx="3419475" cy="895350"/>
            <wp:effectExtent l="0" t="0" r="9525" b="0"/>
            <wp:docPr id="1" name="Picture 1" descr="\\sr-filesrv\users\abjackson\MYDOCS\Desktop\southRiver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r-filesrv\users\abjackson\MYDOCS\Desktop\southRiver_log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19475" cy="895350"/>
                    </a:xfrm>
                    <a:prstGeom prst="rect">
                      <a:avLst/>
                    </a:prstGeom>
                    <a:noFill/>
                    <a:ln>
                      <a:noFill/>
                    </a:ln>
                  </pic:spPr>
                </pic:pic>
              </a:graphicData>
            </a:graphic>
          </wp:inline>
        </w:drawing>
      </w:r>
    </w:p>
    <w:p w:rsidR="00AA2B9C" w:rsidRPr="00AA2B9C" w:rsidRDefault="007942BB" w:rsidP="00B407B6">
      <w:pPr>
        <w:spacing w:after="120"/>
        <w:jc w:val="center"/>
        <w:rPr>
          <w:sz w:val="48"/>
        </w:rPr>
      </w:pPr>
      <w:r>
        <w:rPr>
          <w:sz w:val="48"/>
        </w:rPr>
        <w:t>Member-Owned</w:t>
      </w:r>
      <w:r w:rsidR="00AA2B9C" w:rsidRPr="00AA2B9C">
        <w:rPr>
          <w:sz w:val="48"/>
        </w:rPr>
        <w:t xml:space="preserve"> Generation Program</w:t>
      </w:r>
      <w:r w:rsidR="0030307E">
        <w:rPr>
          <w:sz w:val="48"/>
        </w:rPr>
        <w:t xml:space="preserve"> (MOG)</w:t>
      </w:r>
    </w:p>
    <w:p w:rsidR="0030307E" w:rsidRDefault="0030307E" w:rsidP="00B407B6">
      <w:pPr>
        <w:tabs>
          <w:tab w:val="left" w:pos="6165"/>
        </w:tabs>
        <w:spacing w:after="120"/>
        <w:rPr>
          <w:sz w:val="28"/>
        </w:rPr>
      </w:pPr>
      <w:r>
        <w:rPr>
          <w:sz w:val="28"/>
        </w:rPr>
        <w:t xml:space="preserve">Program </w:t>
      </w:r>
      <w:r w:rsidR="00620508">
        <w:rPr>
          <w:sz w:val="28"/>
        </w:rPr>
        <w:t>Purpose</w:t>
      </w:r>
    </w:p>
    <w:p w:rsidR="0030307E" w:rsidRDefault="0030307E" w:rsidP="00B407B6">
      <w:pPr>
        <w:tabs>
          <w:tab w:val="left" w:pos="6165"/>
        </w:tabs>
        <w:spacing w:after="120"/>
        <w:rPr>
          <w:sz w:val="24"/>
        </w:rPr>
      </w:pPr>
      <w:r>
        <w:rPr>
          <w:sz w:val="24"/>
        </w:rPr>
        <w:t xml:space="preserve">The purpose of the South River EMC MOG program is to relieve the stress on the electric grid during times of </w:t>
      </w:r>
      <w:r w:rsidR="00E23F09">
        <w:rPr>
          <w:sz w:val="24"/>
        </w:rPr>
        <w:t>high</w:t>
      </w:r>
      <w:r>
        <w:rPr>
          <w:sz w:val="24"/>
        </w:rPr>
        <w:t xml:space="preserve"> electricity demand.   By having participating accounts operate on g</w:t>
      </w:r>
      <w:r w:rsidR="001C4E6A">
        <w:rPr>
          <w:sz w:val="24"/>
        </w:rPr>
        <w:t>enerator during these times, we help</w:t>
      </w:r>
      <w:r>
        <w:rPr>
          <w:sz w:val="24"/>
        </w:rPr>
        <w:t xml:space="preserve"> reduce wear and tear on the system</w:t>
      </w:r>
      <w:r w:rsidR="00620508">
        <w:rPr>
          <w:sz w:val="24"/>
        </w:rPr>
        <w:t xml:space="preserve">.  In the long run, this helps </w:t>
      </w:r>
      <w:r w:rsidR="007942BB">
        <w:rPr>
          <w:sz w:val="24"/>
        </w:rPr>
        <w:t>to</w:t>
      </w:r>
      <w:r w:rsidR="00620508">
        <w:rPr>
          <w:sz w:val="24"/>
        </w:rPr>
        <w:t xml:space="preserve"> keep electric rates </w:t>
      </w:r>
      <w:r w:rsidR="00E23F09">
        <w:rPr>
          <w:sz w:val="24"/>
        </w:rPr>
        <w:t>affordable</w:t>
      </w:r>
      <w:r w:rsidR="00620508">
        <w:rPr>
          <w:sz w:val="24"/>
        </w:rPr>
        <w:t>.</w:t>
      </w:r>
    </w:p>
    <w:p w:rsidR="00E23F09" w:rsidRDefault="00620508" w:rsidP="00B407B6">
      <w:pPr>
        <w:tabs>
          <w:tab w:val="left" w:pos="6165"/>
        </w:tabs>
        <w:spacing w:after="120"/>
        <w:rPr>
          <w:sz w:val="28"/>
        </w:rPr>
      </w:pPr>
      <w:r w:rsidRPr="00620508">
        <w:rPr>
          <w:sz w:val="28"/>
        </w:rPr>
        <w:t>Program Benefits</w:t>
      </w:r>
    </w:p>
    <w:p w:rsidR="00620508" w:rsidRPr="00E23F09" w:rsidRDefault="00E23F09" w:rsidP="00B407B6">
      <w:pPr>
        <w:tabs>
          <w:tab w:val="left" w:pos="6165"/>
        </w:tabs>
        <w:spacing w:after="120"/>
        <w:rPr>
          <w:sz w:val="28"/>
        </w:rPr>
      </w:pPr>
      <w:r>
        <w:rPr>
          <w:sz w:val="24"/>
        </w:rPr>
        <w:t>P</w:t>
      </w:r>
      <w:r w:rsidR="00620508">
        <w:rPr>
          <w:sz w:val="24"/>
        </w:rPr>
        <w:t>articipant</w:t>
      </w:r>
      <w:r>
        <w:rPr>
          <w:sz w:val="24"/>
        </w:rPr>
        <w:t>s</w:t>
      </w:r>
      <w:r w:rsidR="00620508">
        <w:rPr>
          <w:sz w:val="24"/>
        </w:rPr>
        <w:t xml:space="preserve"> will receive a line item credit each month on their electric bill</w:t>
      </w:r>
      <w:r w:rsidR="001C4E6A">
        <w:rPr>
          <w:sz w:val="24"/>
        </w:rPr>
        <w:t>,</w:t>
      </w:r>
      <w:r w:rsidR="00620508">
        <w:rPr>
          <w:sz w:val="24"/>
        </w:rPr>
        <w:t xml:space="preserve"> </w:t>
      </w:r>
      <w:r w:rsidR="0004766E">
        <w:rPr>
          <w:sz w:val="24"/>
        </w:rPr>
        <w:t>which</w:t>
      </w:r>
      <w:r w:rsidR="00620508">
        <w:rPr>
          <w:sz w:val="24"/>
        </w:rPr>
        <w:t xml:space="preserve"> is based on the average amount of kilowatts (kW) they can remove from the system in</w:t>
      </w:r>
      <w:r w:rsidR="0004766E">
        <w:rPr>
          <w:sz w:val="24"/>
        </w:rPr>
        <w:t xml:space="preserve"> the event of a generator call.</w:t>
      </w:r>
      <w:r w:rsidR="00620508">
        <w:rPr>
          <w:sz w:val="24"/>
        </w:rPr>
        <w:t xml:space="preserve">  </w:t>
      </w:r>
      <w:r w:rsidR="0004766E">
        <w:rPr>
          <w:sz w:val="24"/>
        </w:rPr>
        <w:t>This kW f</w:t>
      </w:r>
      <w:r>
        <w:rPr>
          <w:sz w:val="24"/>
        </w:rPr>
        <w:t>igure is recalculated each year</w:t>
      </w:r>
      <w:r w:rsidR="0004766E">
        <w:rPr>
          <w:sz w:val="24"/>
        </w:rPr>
        <w:t xml:space="preserve"> using the previous years’ energy use data.  </w:t>
      </w:r>
      <w:r w:rsidR="00620508">
        <w:rPr>
          <w:sz w:val="24"/>
        </w:rPr>
        <w:t xml:space="preserve">If a generator call occurs, each participant will </w:t>
      </w:r>
      <w:r w:rsidR="0004766E">
        <w:rPr>
          <w:sz w:val="24"/>
        </w:rPr>
        <w:t xml:space="preserve">also </w:t>
      </w:r>
      <w:r w:rsidR="00620508">
        <w:rPr>
          <w:sz w:val="24"/>
        </w:rPr>
        <w:t xml:space="preserve">receive </w:t>
      </w:r>
      <w:r w:rsidR="007942BB">
        <w:rPr>
          <w:sz w:val="24"/>
        </w:rPr>
        <w:t>a</w:t>
      </w:r>
      <w:r w:rsidR="00620508">
        <w:rPr>
          <w:sz w:val="24"/>
        </w:rPr>
        <w:t xml:space="preserve"> fuel credit on the next out-going bill </w:t>
      </w:r>
      <w:r w:rsidR="00D60F9B">
        <w:rPr>
          <w:sz w:val="24"/>
        </w:rPr>
        <w:t>which</w:t>
      </w:r>
      <w:r w:rsidR="001C4E6A">
        <w:rPr>
          <w:sz w:val="24"/>
        </w:rPr>
        <w:t>,</w:t>
      </w:r>
      <w:r w:rsidR="00D60F9B">
        <w:rPr>
          <w:sz w:val="24"/>
        </w:rPr>
        <w:t xml:space="preserve"> is</w:t>
      </w:r>
      <w:r w:rsidR="00620508">
        <w:rPr>
          <w:sz w:val="24"/>
        </w:rPr>
        <w:t xml:space="preserve"> based on the length of the run and the price of fuel the day </w:t>
      </w:r>
      <w:r w:rsidR="007942BB">
        <w:rPr>
          <w:sz w:val="24"/>
        </w:rPr>
        <w:t xml:space="preserve">that </w:t>
      </w:r>
      <w:r w:rsidR="00620508">
        <w:rPr>
          <w:sz w:val="24"/>
        </w:rPr>
        <w:t xml:space="preserve">the run occurred.  </w:t>
      </w:r>
    </w:p>
    <w:p w:rsidR="00620508" w:rsidRDefault="00620508" w:rsidP="00B407B6">
      <w:pPr>
        <w:tabs>
          <w:tab w:val="left" w:pos="6165"/>
        </w:tabs>
        <w:spacing w:after="120"/>
        <w:rPr>
          <w:sz w:val="28"/>
        </w:rPr>
      </w:pPr>
      <w:r>
        <w:rPr>
          <w:sz w:val="28"/>
        </w:rPr>
        <w:t>Call Procedure</w:t>
      </w:r>
    </w:p>
    <w:p w:rsidR="00620508" w:rsidRPr="00620508" w:rsidRDefault="00620508" w:rsidP="00B407B6">
      <w:pPr>
        <w:tabs>
          <w:tab w:val="left" w:pos="6165"/>
        </w:tabs>
        <w:spacing w:after="120"/>
        <w:rPr>
          <w:sz w:val="24"/>
        </w:rPr>
      </w:pPr>
      <w:r>
        <w:rPr>
          <w:sz w:val="24"/>
        </w:rPr>
        <w:t xml:space="preserve">In the event </w:t>
      </w:r>
      <w:r w:rsidR="007942BB">
        <w:rPr>
          <w:sz w:val="24"/>
        </w:rPr>
        <w:t xml:space="preserve">that </w:t>
      </w:r>
      <w:r>
        <w:rPr>
          <w:sz w:val="24"/>
        </w:rPr>
        <w:t>a generator call is necessary, all participants are notified at least one hour before the signal is transmitted.  All participants will receive an automated phone call, text message, and email detailing the start time and end time of the run.  Generators will be started remotely and will shut down soon after the run</w:t>
      </w:r>
      <w:r w:rsidR="0004766E">
        <w:rPr>
          <w:sz w:val="24"/>
        </w:rPr>
        <w:t xml:space="preserve"> command</w:t>
      </w:r>
      <w:r>
        <w:rPr>
          <w:sz w:val="24"/>
        </w:rPr>
        <w:t xml:space="preserve"> has expired.  Each participant gets two “strikes” per year</w:t>
      </w:r>
      <w:r w:rsidR="001C4E6A">
        <w:rPr>
          <w:sz w:val="24"/>
        </w:rPr>
        <w:t xml:space="preserve"> s</w:t>
      </w:r>
      <w:r w:rsidR="0004766E">
        <w:rPr>
          <w:sz w:val="24"/>
        </w:rPr>
        <w:t>o</w:t>
      </w:r>
      <w:r w:rsidR="001C4E6A">
        <w:rPr>
          <w:sz w:val="24"/>
        </w:rPr>
        <w:t>,</w:t>
      </w:r>
      <w:r w:rsidR="0004766E">
        <w:rPr>
          <w:sz w:val="24"/>
        </w:rPr>
        <w:t xml:space="preserve"> if a generator fails to fire twice in a calendar year,</w:t>
      </w:r>
      <w:r>
        <w:rPr>
          <w:sz w:val="24"/>
        </w:rPr>
        <w:t xml:space="preserve"> the participant is removed from the </w:t>
      </w:r>
      <w:r w:rsidR="0004766E">
        <w:rPr>
          <w:sz w:val="24"/>
        </w:rPr>
        <w:t xml:space="preserve">program and receives no </w:t>
      </w:r>
      <w:r w:rsidR="00B407B6">
        <w:rPr>
          <w:sz w:val="24"/>
        </w:rPr>
        <w:t>further</w:t>
      </w:r>
      <w:r w:rsidR="0004766E">
        <w:rPr>
          <w:sz w:val="24"/>
        </w:rPr>
        <w:t xml:space="preserve"> credit.</w:t>
      </w:r>
      <w:r>
        <w:rPr>
          <w:sz w:val="24"/>
        </w:rPr>
        <w:t xml:space="preserve"> </w:t>
      </w:r>
    </w:p>
    <w:p w:rsidR="0004766E" w:rsidRDefault="0004766E" w:rsidP="00B407B6">
      <w:pPr>
        <w:tabs>
          <w:tab w:val="left" w:pos="6165"/>
        </w:tabs>
        <w:spacing w:after="120"/>
        <w:rPr>
          <w:sz w:val="28"/>
        </w:rPr>
      </w:pPr>
      <w:r>
        <w:rPr>
          <w:sz w:val="28"/>
        </w:rPr>
        <w:t>Testing</w:t>
      </w:r>
      <w:r w:rsidR="0052435F">
        <w:rPr>
          <w:sz w:val="28"/>
        </w:rPr>
        <w:t xml:space="preserve"> &amp; </w:t>
      </w:r>
      <w:r w:rsidR="007942BB">
        <w:rPr>
          <w:sz w:val="28"/>
        </w:rPr>
        <w:t xml:space="preserve">Run-time </w:t>
      </w:r>
      <w:r w:rsidR="0052435F">
        <w:rPr>
          <w:sz w:val="28"/>
        </w:rPr>
        <w:t>Limitations</w:t>
      </w:r>
    </w:p>
    <w:p w:rsidR="0052435F" w:rsidRPr="007942BB" w:rsidRDefault="0004766E" w:rsidP="00B407B6">
      <w:pPr>
        <w:tabs>
          <w:tab w:val="left" w:pos="6165"/>
        </w:tabs>
        <w:spacing w:after="120"/>
        <w:rPr>
          <w:i/>
        </w:rPr>
      </w:pPr>
      <w:r>
        <w:t xml:space="preserve">New participants must </w:t>
      </w:r>
      <w:r w:rsidR="007942BB">
        <w:t xml:space="preserve">apply by October </w:t>
      </w:r>
      <w:r w:rsidR="001C4E6A">
        <w:t>1st</w:t>
      </w:r>
      <w:r w:rsidR="007942BB">
        <w:t xml:space="preserve"> and </w:t>
      </w:r>
      <w:r>
        <w:t>be ready</w:t>
      </w:r>
      <w:r w:rsidR="0052435F">
        <w:t xml:space="preserve"> for individual</w:t>
      </w:r>
      <w:r>
        <w:t xml:space="preserve"> test</w:t>
      </w:r>
      <w:r w:rsidR="007942BB">
        <w:t>ing</w:t>
      </w:r>
      <w:r>
        <w:t xml:space="preserve"> by</w:t>
      </w:r>
      <w:r w:rsidR="00337D15">
        <w:t xml:space="preserve"> November 15</w:t>
      </w:r>
      <w:r w:rsidR="006B063A">
        <w:t xml:space="preserve">. </w:t>
      </w:r>
      <w:r>
        <w:t xml:space="preserve"> </w:t>
      </w:r>
      <w:r w:rsidR="007942BB">
        <w:t>A</w:t>
      </w:r>
      <w:r w:rsidR="0052435F">
        <w:t xml:space="preserve">ll participants are tested corporately twice per year.  Generator call events cannot last more than 8 hours.  Also, generators may not be called to run more than 60 hours in a calendar year.  We are in the </w:t>
      </w:r>
      <w:r w:rsidR="006B063A">
        <w:t>5</w:t>
      </w:r>
      <w:r w:rsidR="007942BB" w:rsidRPr="007942BB">
        <w:rPr>
          <w:vertAlign w:val="superscript"/>
        </w:rPr>
        <w:t>th</w:t>
      </w:r>
      <w:r w:rsidR="007942BB">
        <w:t xml:space="preserve"> year of the program and, to date, the total generator run time is +/- 30 hours </w:t>
      </w:r>
      <w:r w:rsidR="007942BB">
        <w:rPr>
          <w:i/>
        </w:rPr>
        <w:t>(avg. 7.5 hours per year).</w:t>
      </w:r>
      <w:bookmarkStart w:id="0" w:name="_GoBack"/>
      <w:bookmarkEnd w:id="0"/>
    </w:p>
    <w:p w:rsidR="00AA2B9C" w:rsidRPr="00AA2B9C" w:rsidRDefault="00AA2B9C" w:rsidP="00B407B6">
      <w:pPr>
        <w:tabs>
          <w:tab w:val="left" w:pos="6165"/>
        </w:tabs>
        <w:spacing w:after="120"/>
        <w:rPr>
          <w:sz w:val="28"/>
        </w:rPr>
      </w:pPr>
      <w:r w:rsidRPr="00AA2B9C">
        <w:rPr>
          <w:sz w:val="28"/>
        </w:rPr>
        <w:t>Requirements</w:t>
      </w:r>
    </w:p>
    <w:p w:rsidR="00AA2B9C" w:rsidRPr="00AA2B9C" w:rsidRDefault="0004766E" w:rsidP="00B407B6">
      <w:pPr>
        <w:pStyle w:val="ListParagraph"/>
        <w:numPr>
          <w:ilvl w:val="0"/>
          <w:numId w:val="1"/>
        </w:numPr>
        <w:tabs>
          <w:tab w:val="left" w:pos="6165"/>
        </w:tabs>
        <w:spacing w:after="120"/>
        <w:jc w:val="both"/>
        <w:rPr>
          <w:sz w:val="24"/>
        </w:rPr>
      </w:pPr>
      <w:r>
        <w:rPr>
          <w:sz w:val="24"/>
        </w:rPr>
        <w:t>Farm/Business</w:t>
      </w:r>
      <w:r w:rsidR="00AA2B9C" w:rsidRPr="00AA2B9C">
        <w:rPr>
          <w:sz w:val="24"/>
        </w:rPr>
        <w:t xml:space="preserve"> must be served by South River EMC</w:t>
      </w:r>
    </w:p>
    <w:p w:rsidR="00AA2B9C" w:rsidRPr="0030307E" w:rsidRDefault="00AA2B9C" w:rsidP="00AA2B9C">
      <w:pPr>
        <w:pStyle w:val="ListParagraph"/>
        <w:numPr>
          <w:ilvl w:val="0"/>
          <w:numId w:val="1"/>
        </w:numPr>
        <w:tabs>
          <w:tab w:val="left" w:pos="6165"/>
        </w:tabs>
        <w:jc w:val="both"/>
      </w:pPr>
      <w:r w:rsidRPr="00AA2B9C">
        <w:rPr>
          <w:sz w:val="24"/>
        </w:rPr>
        <w:t xml:space="preserve">Generator must be stationary and </w:t>
      </w:r>
      <w:r>
        <w:rPr>
          <w:sz w:val="24"/>
        </w:rPr>
        <w:t>utilize</w:t>
      </w:r>
      <w:r w:rsidRPr="00AA2B9C">
        <w:rPr>
          <w:sz w:val="24"/>
        </w:rPr>
        <w:t xml:space="preserve"> an automatic transfer switch </w:t>
      </w:r>
    </w:p>
    <w:p w:rsidR="0030307E" w:rsidRDefault="0030307E" w:rsidP="00AA2B9C">
      <w:pPr>
        <w:pStyle w:val="ListParagraph"/>
        <w:numPr>
          <w:ilvl w:val="0"/>
          <w:numId w:val="1"/>
        </w:numPr>
        <w:tabs>
          <w:tab w:val="left" w:pos="6165"/>
        </w:tabs>
        <w:jc w:val="both"/>
      </w:pPr>
      <w:r>
        <w:rPr>
          <w:sz w:val="24"/>
        </w:rPr>
        <w:t xml:space="preserve">Generator must be capable of carrying the entire </w:t>
      </w:r>
      <w:r w:rsidR="007942BB">
        <w:rPr>
          <w:sz w:val="24"/>
        </w:rPr>
        <w:t>load of the metered service</w:t>
      </w:r>
    </w:p>
    <w:p w:rsidR="00AA2B9C" w:rsidRDefault="00AA2B9C" w:rsidP="00AA2B9C">
      <w:pPr>
        <w:pStyle w:val="ListParagraph"/>
        <w:numPr>
          <w:ilvl w:val="0"/>
          <w:numId w:val="1"/>
        </w:numPr>
        <w:tabs>
          <w:tab w:val="left" w:pos="6165"/>
        </w:tabs>
        <w:jc w:val="both"/>
      </w:pPr>
      <w:r>
        <w:t xml:space="preserve">Member must acquire and install an </w:t>
      </w:r>
      <w:proofErr w:type="spellStart"/>
      <w:r>
        <w:t>Aclara</w:t>
      </w:r>
      <w:proofErr w:type="spellEnd"/>
      <w:r>
        <w:t xml:space="preserve"> Demand Response Unit (DRU) communication device.  </w:t>
      </w:r>
      <w:r w:rsidR="0004766E">
        <w:t xml:space="preserve">The cooperative stocks this device and makes it available at cost </w:t>
      </w:r>
      <w:r w:rsidR="006B063A">
        <w:rPr>
          <w:i/>
        </w:rPr>
        <w:t>(approximately $22</w:t>
      </w:r>
      <w:r w:rsidR="0004766E">
        <w:rPr>
          <w:i/>
        </w:rPr>
        <w:t>0).</w:t>
      </w:r>
    </w:p>
    <w:p w:rsidR="00AA2B9C" w:rsidRDefault="00AA2B9C" w:rsidP="006A6D47">
      <w:pPr>
        <w:pStyle w:val="ListParagraph"/>
        <w:tabs>
          <w:tab w:val="left" w:pos="6165"/>
        </w:tabs>
        <w:jc w:val="both"/>
      </w:pPr>
    </w:p>
    <w:p w:rsidR="00FC7377" w:rsidRPr="006B063A" w:rsidRDefault="0052435F" w:rsidP="006B063A">
      <w:pPr>
        <w:tabs>
          <w:tab w:val="left" w:pos="6165"/>
        </w:tabs>
        <w:jc w:val="center"/>
        <w:rPr>
          <w:sz w:val="28"/>
        </w:rPr>
      </w:pPr>
      <w:r>
        <w:rPr>
          <w:sz w:val="28"/>
        </w:rPr>
        <w:t xml:space="preserve"> </w:t>
      </w:r>
      <w:r w:rsidR="00B407B6">
        <w:rPr>
          <w:sz w:val="28"/>
        </w:rPr>
        <w:t>Would you like to sign-up?  Do you have additional q</w:t>
      </w:r>
      <w:r>
        <w:rPr>
          <w:sz w:val="28"/>
        </w:rPr>
        <w:t>uestions?</w:t>
      </w:r>
      <w:r w:rsidR="00B407B6">
        <w:rPr>
          <w:sz w:val="28"/>
        </w:rPr>
        <w:t xml:space="preserve">  </w:t>
      </w:r>
      <w:r>
        <w:rPr>
          <w:sz w:val="28"/>
        </w:rPr>
        <w:t>Contact Aaron Jackson at</w:t>
      </w:r>
      <w:r w:rsidR="00B407B6">
        <w:rPr>
          <w:sz w:val="28"/>
        </w:rPr>
        <w:t xml:space="preserve"> SREMC</w:t>
      </w:r>
      <w:r>
        <w:rPr>
          <w:sz w:val="28"/>
        </w:rPr>
        <w:t>:  910-892-8071 ex. 2153 or 919-820-1909</w:t>
      </w:r>
      <w:r w:rsidR="00B407B6">
        <w:rPr>
          <w:sz w:val="28"/>
        </w:rPr>
        <w:t xml:space="preserve">; </w:t>
      </w:r>
      <w:hyperlink r:id="rId6" w:history="1">
        <w:r w:rsidR="00B407B6" w:rsidRPr="00E040D5">
          <w:rPr>
            <w:rStyle w:val="Hyperlink"/>
            <w:sz w:val="28"/>
          </w:rPr>
          <w:t>abjackson@sremc.com</w:t>
        </w:r>
      </w:hyperlink>
    </w:p>
    <w:sectPr w:rsidR="00FC7377" w:rsidRPr="006B063A" w:rsidSect="00B407B6">
      <w:pgSz w:w="12240" w:h="15840"/>
      <w:pgMar w:top="1080" w:right="720" w:bottom="10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F35DF0"/>
    <w:multiLevelType w:val="hybridMultilevel"/>
    <w:tmpl w:val="5008CAE0"/>
    <w:lvl w:ilvl="0" w:tplc="4E0A538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D30859"/>
    <w:multiLevelType w:val="hybridMultilevel"/>
    <w:tmpl w:val="653E754A"/>
    <w:lvl w:ilvl="0" w:tplc="4128272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B9C"/>
    <w:rsid w:val="0004766E"/>
    <w:rsid w:val="001C4E6A"/>
    <w:rsid w:val="0030307E"/>
    <w:rsid w:val="00337D15"/>
    <w:rsid w:val="0052435F"/>
    <w:rsid w:val="00620508"/>
    <w:rsid w:val="006A6D47"/>
    <w:rsid w:val="006B063A"/>
    <w:rsid w:val="007942BB"/>
    <w:rsid w:val="00AA2B9C"/>
    <w:rsid w:val="00B407B6"/>
    <w:rsid w:val="00C070A3"/>
    <w:rsid w:val="00D60F9B"/>
    <w:rsid w:val="00E23F09"/>
    <w:rsid w:val="00F61864"/>
    <w:rsid w:val="00FC7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8A2EC8-1B7D-4B1F-B3A5-01FFB5355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2B9C"/>
    <w:pPr>
      <w:ind w:left="720"/>
      <w:contextualSpacing/>
    </w:pPr>
  </w:style>
  <w:style w:type="character" w:styleId="Hyperlink">
    <w:name w:val="Hyperlink"/>
    <w:basedOn w:val="DefaultParagraphFont"/>
    <w:uiPriority w:val="99"/>
    <w:unhideWhenUsed/>
    <w:rsid w:val="00B407B6"/>
    <w:rPr>
      <w:color w:val="0563C1" w:themeColor="hyperlink"/>
      <w:u w:val="single"/>
    </w:rPr>
  </w:style>
  <w:style w:type="paragraph" w:styleId="BalloonText">
    <w:name w:val="Balloon Text"/>
    <w:basedOn w:val="Normal"/>
    <w:link w:val="BalloonTextChar"/>
    <w:uiPriority w:val="99"/>
    <w:semiHidden/>
    <w:unhideWhenUsed/>
    <w:rsid w:val="00B407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07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bjackson@sremc.com"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Pages>
  <Words>367</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B. Jackson</dc:creator>
  <cp:keywords/>
  <dc:description/>
  <cp:lastModifiedBy>Aaron B. Jackson</cp:lastModifiedBy>
  <cp:revision>9</cp:revision>
  <cp:lastPrinted>2016-10-03T18:34:00Z</cp:lastPrinted>
  <dcterms:created xsi:type="dcterms:W3CDTF">2016-09-29T19:44:00Z</dcterms:created>
  <dcterms:modified xsi:type="dcterms:W3CDTF">2019-03-14T12:36:00Z</dcterms:modified>
</cp:coreProperties>
</file>